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D09CA09" w14:textId="4C1534C8" w:rsidR="002F4DDC" w:rsidRPr="002F4DDC" w:rsidRDefault="002F4DDC" w:rsidP="002F4DDC">
      <w:pPr>
        <w:shd w:val="clear" w:color="auto" w:fill="FFFFFF"/>
        <w:spacing w:after="0" w:line="240" w:lineRule="auto"/>
        <w:jc w:val="right"/>
        <w:outlineLvl w:val="0"/>
        <w:rPr>
          <w:rFonts w:ascii="Agency FB" w:eastAsia="Times New Roman" w:hAnsi="Agency FB" w:cs="Arial"/>
          <w:color w:val="7030A0"/>
          <w:kern w:val="36"/>
          <w:sz w:val="20"/>
          <w:szCs w:val="20"/>
          <w:lang w:val="es-ES" w:eastAsia="es-ES"/>
        </w:rPr>
      </w:pPr>
      <w:r w:rsidRPr="002F4DDC">
        <w:rPr>
          <w:rFonts w:ascii="Agency FB" w:eastAsia="Times New Roman" w:hAnsi="Agency FB" w:cs="Arial"/>
          <w:color w:val="7030A0"/>
          <w:kern w:val="36"/>
          <w:sz w:val="20"/>
          <w:szCs w:val="20"/>
          <w:lang w:val="es-ES" w:eastAsia="es-ES"/>
        </w:rPr>
        <w:t>Excm</w:t>
      </w:r>
      <w:r w:rsidRPr="002F4DDC">
        <w:rPr>
          <w:rFonts w:ascii="Agency FB" w:eastAsia="Times New Roman" w:hAnsi="Agency FB" w:cs="Arial"/>
          <w:color w:val="7030A0"/>
          <w:kern w:val="36"/>
          <w:sz w:val="20"/>
          <w:szCs w:val="20"/>
          <w:lang w:val="es-ES" w:eastAsia="es-ES"/>
        </w:rPr>
        <w:t>a</w:t>
      </w:r>
      <w:r w:rsidRPr="002F4DDC">
        <w:rPr>
          <w:rFonts w:ascii="Agency FB" w:eastAsia="Times New Roman" w:hAnsi="Agency FB" w:cs="Arial"/>
          <w:color w:val="7030A0"/>
          <w:kern w:val="36"/>
          <w:sz w:val="20"/>
          <w:szCs w:val="20"/>
          <w:lang w:val="es-ES" w:eastAsia="es-ES"/>
        </w:rPr>
        <w:t>. Sr</w:t>
      </w:r>
      <w:r w:rsidRPr="002F4DDC">
        <w:rPr>
          <w:rFonts w:ascii="Agency FB" w:eastAsia="Times New Roman" w:hAnsi="Agency FB" w:cs="Arial"/>
          <w:color w:val="7030A0"/>
          <w:kern w:val="36"/>
          <w:sz w:val="20"/>
          <w:szCs w:val="20"/>
          <w:lang w:val="es-ES" w:eastAsia="es-ES"/>
        </w:rPr>
        <w:t>a</w:t>
      </w:r>
      <w:r w:rsidRPr="002F4DDC">
        <w:rPr>
          <w:rFonts w:ascii="Agency FB" w:eastAsia="Times New Roman" w:hAnsi="Agency FB" w:cs="Arial"/>
          <w:color w:val="7030A0"/>
          <w:kern w:val="36"/>
          <w:sz w:val="20"/>
          <w:szCs w:val="20"/>
          <w:lang w:val="es-ES" w:eastAsia="es-ES"/>
        </w:rPr>
        <w:t>.   Alicia Bárcena</w:t>
      </w:r>
    </w:p>
    <w:p w14:paraId="2B98A7C4" w14:textId="12C203C7" w:rsidR="002F4DDC" w:rsidRPr="002F4DDC" w:rsidRDefault="002F4DDC" w:rsidP="002F4DDC">
      <w:pPr>
        <w:shd w:val="clear" w:color="auto" w:fill="FFFFFF"/>
        <w:spacing w:after="0" w:line="240" w:lineRule="auto"/>
        <w:jc w:val="right"/>
        <w:outlineLvl w:val="0"/>
        <w:rPr>
          <w:rFonts w:ascii="Agency FB" w:eastAsia="Times New Roman" w:hAnsi="Agency FB" w:cs="Arial"/>
          <w:color w:val="7030A0"/>
          <w:kern w:val="36"/>
          <w:sz w:val="20"/>
          <w:szCs w:val="20"/>
          <w:lang w:val="es-ES" w:eastAsia="es-ES"/>
        </w:rPr>
      </w:pPr>
      <w:r w:rsidRPr="002F4DDC">
        <w:rPr>
          <w:rFonts w:ascii="Agency FB" w:eastAsia="Times New Roman" w:hAnsi="Agency FB" w:cs="Arial"/>
          <w:color w:val="7030A0"/>
          <w:kern w:val="36"/>
          <w:sz w:val="20"/>
          <w:szCs w:val="20"/>
          <w:lang w:val="es-ES" w:eastAsia="es-ES"/>
        </w:rPr>
        <w:t>Embajador</w:t>
      </w:r>
      <w:r w:rsidR="0097357F">
        <w:rPr>
          <w:rFonts w:ascii="Agency FB" w:eastAsia="Times New Roman" w:hAnsi="Agency FB" w:cs="Arial"/>
          <w:color w:val="7030A0"/>
          <w:kern w:val="36"/>
          <w:sz w:val="20"/>
          <w:szCs w:val="20"/>
          <w:lang w:val="es-ES" w:eastAsia="es-ES"/>
        </w:rPr>
        <w:t>a</w:t>
      </w:r>
      <w:r w:rsidRPr="002F4DDC">
        <w:rPr>
          <w:rFonts w:ascii="Agency FB" w:eastAsia="Times New Roman" w:hAnsi="Agency FB" w:cs="Arial"/>
          <w:color w:val="7030A0"/>
          <w:kern w:val="36"/>
          <w:sz w:val="20"/>
          <w:szCs w:val="20"/>
          <w:lang w:val="es-ES" w:eastAsia="es-ES"/>
        </w:rPr>
        <w:t xml:space="preserve"> de México en Chile</w:t>
      </w:r>
    </w:p>
    <w:p w14:paraId="1A68E4A5" w14:textId="77777777" w:rsidR="002F4DDC" w:rsidRPr="002F4DDC" w:rsidRDefault="002F4DDC" w:rsidP="002F4DDC">
      <w:pPr>
        <w:shd w:val="clear" w:color="auto" w:fill="FFFFFF"/>
        <w:spacing w:after="0" w:line="240" w:lineRule="auto"/>
        <w:jc w:val="right"/>
        <w:outlineLvl w:val="0"/>
        <w:rPr>
          <w:rFonts w:ascii="Agency FB" w:eastAsia="Times New Roman" w:hAnsi="Agency FB" w:cs="Arial"/>
          <w:color w:val="7030A0"/>
          <w:kern w:val="36"/>
          <w:sz w:val="20"/>
          <w:szCs w:val="20"/>
          <w:lang w:val="es-ES" w:eastAsia="es-ES"/>
        </w:rPr>
      </w:pPr>
    </w:p>
    <w:p w14:paraId="45184AA2" w14:textId="77777777" w:rsidR="002F4DDC" w:rsidRPr="002F4DDC" w:rsidRDefault="002F4DDC" w:rsidP="002F4DDC">
      <w:pPr>
        <w:shd w:val="clear" w:color="auto" w:fill="FFFFFF"/>
        <w:spacing w:after="0" w:line="240" w:lineRule="auto"/>
        <w:jc w:val="right"/>
        <w:outlineLvl w:val="0"/>
        <w:rPr>
          <w:rFonts w:ascii="Agency FB" w:eastAsia="Times New Roman" w:hAnsi="Agency FB" w:cs="Times New Roman"/>
          <w:color w:val="7030A0"/>
          <w:kern w:val="36"/>
          <w:sz w:val="44"/>
          <w:szCs w:val="44"/>
          <w:lang w:val="es-ES" w:eastAsia="es-ES"/>
        </w:rPr>
      </w:pPr>
      <w:r w:rsidRPr="002F4DDC">
        <w:rPr>
          <w:rFonts w:ascii="Agency FB" w:eastAsia="Times New Roman" w:hAnsi="Agency FB" w:cs="Arial"/>
          <w:color w:val="7030A0"/>
          <w:kern w:val="36"/>
          <w:sz w:val="20"/>
          <w:szCs w:val="20"/>
          <w:lang w:val="es-ES" w:eastAsia="es-ES"/>
        </w:rPr>
        <w:t>Miércoles, 13 de diciembre de 2023</w:t>
      </w:r>
    </w:p>
    <w:p w14:paraId="4FF407A3" w14:textId="77777777" w:rsidR="002F4DDC" w:rsidRPr="002F4DDC" w:rsidRDefault="002F4DDC" w:rsidP="002F4DDC">
      <w:pPr>
        <w:spacing w:after="0" w:line="240" w:lineRule="auto"/>
        <w:jc w:val="right"/>
        <w:rPr>
          <w:rFonts w:ascii="Merriweather" w:hAnsi="Merriweather"/>
          <w:b/>
          <w:bCs/>
          <w:color w:val="000000"/>
          <w:spacing w:val="-2"/>
          <w:sz w:val="24"/>
          <w:szCs w:val="24"/>
          <w:shd w:val="clear" w:color="auto" w:fill="FFFFFF"/>
          <w:lang w:val="es-ES"/>
        </w:rPr>
      </w:pPr>
    </w:p>
    <w:p w14:paraId="0FB73E8F" w14:textId="77777777" w:rsidR="002F4DDC" w:rsidRPr="002F4DDC" w:rsidRDefault="002F4DDC" w:rsidP="002F4DDC">
      <w:pPr>
        <w:spacing w:after="0" w:line="240" w:lineRule="auto"/>
        <w:jc w:val="both"/>
        <w:rPr>
          <w:rFonts w:eastAsia="Times New Roman" w:cstheme="minorHAnsi"/>
          <w:bCs/>
          <w:i/>
          <w:color w:val="202124"/>
          <w:lang w:val="es-ES" w:eastAsia="es-ES_tradnl"/>
        </w:rPr>
      </w:pPr>
      <w:r w:rsidRPr="002F4DDC">
        <w:rPr>
          <w:rFonts w:eastAsia="Times New Roman" w:cstheme="minorHAnsi"/>
          <w:bCs/>
          <w:color w:val="202124"/>
          <w:lang w:val="es-ES" w:eastAsia="es-ES_tradnl"/>
        </w:rPr>
        <w:t xml:space="preserve">Asunto: </w:t>
      </w:r>
      <w:r w:rsidRPr="002F4DDC">
        <w:rPr>
          <w:rFonts w:eastAsia="Times New Roman" w:cstheme="minorHAnsi"/>
          <w:bCs/>
          <w:i/>
          <w:color w:val="202124"/>
          <w:lang w:val="es-ES" w:eastAsia="es-ES_tradnl"/>
        </w:rPr>
        <w:t>Solicitud de posicionamiento y denuncia de la explotación reproductiva de mujeres, o vientres de alquiler y la Trata de menores en México </w:t>
      </w:r>
    </w:p>
    <w:p w14:paraId="03E7AEB2" w14:textId="77777777" w:rsidR="002F4DDC" w:rsidRPr="002F4DDC" w:rsidRDefault="002F4DDC" w:rsidP="002F4DDC">
      <w:pPr>
        <w:spacing w:after="0" w:line="240" w:lineRule="auto"/>
        <w:jc w:val="both"/>
        <w:rPr>
          <w:rFonts w:eastAsia="Times New Roman" w:cstheme="minorHAnsi"/>
          <w:color w:val="202124"/>
          <w:lang w:val="es-ES" w:eastAsia="es-ES_tradnl"/>
        </w:rPr>
      </w:pPr>
    </w:p>
    <w:p w14:paraId="415399DA" w14:textId="60A54C23" w:rsidR="002F4DDC" w:rsidRPr="002F4DDC" w:rsidRDefault="002F4DDC" w:rsidP="002F4DDC">
      <w:pPr>
        <w:tabs>
          <w:tab w:val="left" w:pos="6747"/>
        </w:tabs>
        <w:spacing w:after="0" w:line="240" w:lineRule="auto"/>
        <w:jc w:val="both"/>
        <w:rPr>
          <w:rFonts w:eastAsia="Times New Roman" w:cstheme="minorHAnsi"/>
          <w:color w:val="202124"/>
          <w:lang w:val="es-ES" w:eastAsia="es-ES_tradnl"/>
        </w:rPr>
      </w:pPr>
      <w:r w:rsidRPr="002F4DDC">
        <w:rPr>
          <w:rFonts w:eastAsia="Times New Roman" w:cstheme="minorHAnsi"/>
          <w:color w:val="202124"/>
          <w:lang w:val="es-ES" w:eastAsia="es-ES_tradnl"/>
        </w:rPr>
        <w:t>Excelentísim</w:t>
      </w:r>
      <w:r>
        <w:rPr>
          <w:rFonts w:eastAsia="Times New Roman" w:cstheme="minorHAnsi"/>
          <w:color w:val="202124"/>
          <w:lang w:val="es-ES" w:eastAsia="es-ES_tradnl"/>
        </w:rPr>
        <w:t>a</w:t>
      </w:r>
      <w:r w:rsidRPr="002F4DDC">
        <w:rPr>
          <w:rFonts w:eastAsia="Times New Roman" w:cstheme="minorHAnsi"/>
          <w:color w:val="202124"/>
          <w:lang w:val="es-ES" w:eastAsia="es-ES_tradnl"/>
        </w:rPr>
        <w:t xml:space="preserve"> Sr</w:t>
      </w:r>
      <w:r>
        <w:rPr>
          <w:rFonts w:eastAsia="Times New Roman" w:cstheme="minorHAnsi"/>
          <w:color w:val="202124"/>
          <w:lang w:val="es-ES" w:eastAsia="es-ES_tradnl"/>
        </w:rPr>
        <w:t>a</w:t>
      </w:r>
      <w:r w:rsidRPr="002F4DDC">
        <w:rPr>
          <w:rFonts w:eastAsia="Times New Roman" w:cstheme="minorHAnsi"/>
          <w:color w:val="202124"/>
          <w:lang w:val="es-ES" w:eastAsia="es-ES_tradnl"/>
        </w:rPr>
        <w:t>. Embajador</w:t>
      </w:r>
      <w:r>
        <w:rPr>
          <w:rFonts w:eastAsia="Times New Roman" w:cstheme="minorHAnsi"/>
          <w:color w:val="202124"/>
          <w:lang w:val="es-ES" w:eastAsia="es-ES_tradnl"/>
        </w:rPr>
        <w:t>a</w:t>
      </w:r>
      <w:r w:rsidRPr="002F4DDC">
        <w:rPr>
          <w:rFonts w:eastAsia="Times New Roman" w:cstheme="minorHAnsi"/>
          <w:color w:val="202124"/>
          <w:lang w:val="es-ES" w:eastAsia="es-ES_tradnl"/>
        </w:rPr>
        <w:t>:</w:t>
      </w:r>
      <w:r w:rsidRPr="002F4DDC">
        <w:rPr>
          <w:rFonts w:eastAsia="Times New Roman" w:cstheme="minorHAnsi"/>
          <w:color w:val="202124"/>
          <w:lang w:val="es-ES" w:eastAsia="es-ES_tradnl"/>
        </w:rPr>
        <w:tab/>
      </w:r>
    </w:p>
    <w:p w14:paraId="3F420C66" w14:textId="77777777" w:rsidR="002F4DDC" w:rsidRPr="002F4DDC" w:rsidRDefault="002F4DDC" w:rsidP="002F4DDC">
      <w:pPr>
        <w:spacing w:after="0" w:line="240" w:lineRule="auto"/>
        <w:jc w:val="both"/>
        <w:rPr>
          <w:rFonts w:eastAsia="Times New Roman" w:cstheme="minorHAnsi"/>
          <w:color w:val="202124"/>
          <w:lang w:val="es-ES" w:eastAsia="es-ES_tradnl"/>
        </w:rPr>
      </w:pPr>
    </w:p>
    <w:p w14:paraId="63E2747A" w14:textId="77777777" w:rsidR="002F4DDC" w:rsidRPr="002F4DDC" w:rsidRDefault="002F4DDC" w:rsidP="002F4DDC">
      <w:pPr>
        <w:spacing w:after="0" w:line="240" w:lineRule="auto"/>
        <w:jc w:val="both"/>
        <w:rPr>
          <w:rFonts w:eastAsia="Times New Roman" w:cstheme="minorHAnsi"/>
          <w:color w:val="202124"/>
          <w:lang w:val="es-ES" w:eastAsia="es-ES_tradnl"/>
        </w:rPr>
      </w:pPr>
      <w:r w:rsidRPr="002F4DDC">
        <w:rPr>
          <w:rFonts w:eastAsia="Times New Roman" w:cstheme="minorHAnsi"/>
          <w:color w:val="202124"/>
          <w:lang w:val="es-ES" w:eastAsia="es-ES_tradnl"/>
        </w:rPr>
        <w:t xml:space="preserve">Nos dirigimos a usted, respetuosamente, desde la </w:t>
      </w:r>
      <w:r w:rsidRPr="002F4DDC">
        <w:rPr>
          <w:rFonts w:eastAsia="Times New Roman" w:cstheme="minorHAnsi"/>
          <w:color w:val="00B050"/>
          <w:lang w:val="es-ES" w:eastAsia="es-ES_tradnl"/>
        </w:rPr>
        <w:t>Internacional de Mujeres Feministas</w:t>
      </w:r>
      <w:r w:rsidRPr="002F4DDC">
        <w:rPr>
          <w:rFonts w:eastAsia="Times New Roman" w:cstheme="minorHAnsi"/>
          <w:color w:val="202124"/>
          <w:lang w:val="es-ES" w:eastAsia="es-ES_tradnl"/>
        </w:rPr>
        <w:t xml:space="preserve">, para compartirle nuestra posición en relación con la explotación reproductiva de mujeres, también denominada vientres de alquiler, así como sobre la compra-venta y Trata de infancia derivada de dicha industria internacional, solicitando su colaboración en la denuncia y combate de esta lacra en </w:t>
      </w:r>
      <w:proofErr w:type="spellStart"/>
      <w:r w:rsidRPr="002F4DDC">
        <w:rPr>
          <w:rFonts w:eastAsia="Times New Roman" w:cstheme="minorHAnsi"/>
          <w:color w:val="202124"/>
          <w:lang w:val="es-ES" w:eastAsia="es-ES_tradnl"/>
        </w:rPr>
        <w:t>Mexico</w:t>
      </w:r>
      <w:proofErr w:type="spellEnd"/>
      <w:r w:rsidRPr="002F4DDC">
        <w:rPr>
          <w:rFonts w:eastAsia="Times New Roman" w:cstheme="minorHAnsi"/>
          <w:color w:val="202124"/>
          <w:lang w:val="es-ES" w:eastAsia="es-ES_tradnl"/>
        </w:rPr>
        <w:t>.</w:t>
      </w:r>
    </w:p>
    <w:p w14:paraId="019B5AD8" w14:textId="77777777" w:rsidR="002F4DDC" w:rsidRPr="002F4DDC" w:rsidRDefault="002F4DDC" w:rsidP="002F4DDC">
      <w:pPr>
        <w:spacing w:before="100" w:beforeAutospacing="1" w:after="0" w:line="240" w:lineRule="auto"/>
        <w:jc w:val="both"/>
        <w:rPr>
          <w:rFonts w:eastAsia="Times New Roman" w:cstheme="minorHAnsi"/>
          <w:color w:val="202124"/>
          <w:lang w:val="es-ES" w:eastAsia="es-ES_tradnl"/>
        </w:rPr>
      </w:pPr>
      <w:r w:rsidRPr="002F4DDC">
        <w:rPr>
          <w:rFonts w:eastAsia="Times New Roman" w:cstheme="minorHAnsi"/>
          <w:color w:val="202124"/>
          <w:lang w:val="es-ES" w:eastAsia="es-ES_tradnl"/>
        </w:rPr>
        <w:t>Como seguramente recordará, la Internacional Feminista de Mujeres organizó el pasado jueves 9 de noviembre 2023 la "</w:t>
      </w:r>
      <w:r w:rsidRPr="002F4DDC">
        <w:rPr>
          <w:rFonts w:eastAsia="Times New Roman" w:cstheme="minorHAnsi"/>
          <w:i/>
          <w:color w:val="202124"/>
          <w:lang w:val="es-ES" w:eastAsia="es-ES_tradnl"/>
        </w:rPr>
        <w:t>Jornada de Feminismo y Derecho. Deudas y Frentes abiertos en el reconocimiento de los Derechos de las Mujeres y el acceso a la Justicia</w:t>
      </w:r>
      <w:r w:rsidRPr="002F4DDC">
        <w:rPr>
          <w:rFonts w:eastAsia="Times New Roman" w:cstheme="minorHAnsi"/>
          <w:color w:val="202124"/>
          <w:lang w:val="es-ES" w:eastAsia="es-ES_tradnl"/>
        </w:rPr>
        <w:t xml:space="preserve">”, que tuvo lugar en el Auditorio “Abogado Ponciano Arriaga </w:t>
      </w:r>
      <w:proofErr w:type="spellStart"/>
      <w:r w:rsidRPr="002F4DDC">
        <w:rPr>
          <w:rFonts w:eastAsia="Times New Roman" w:cstheme="minorHAnsi"/>
          <w:color w:val="202124"/>
          <w:lang w:val="es-ES" w:eastAsia="es-ES_tradnl"/>
        </w:rPr>
        <w:t>Leija</w:t>
      </w:r>
      <w:proofErr w:type="spellEnd"/>
      <w:r w:rsidRPr="002F4DDC">
        <w:rPr>
          <w:rFonts w:eastAsia="Times New Roman" w:cstheme="minorHAnsi"/>
          <w:color w:val="202124"/>
          <w:lang w:val="es-ES" w:eastAsia="es-ES_tradnl"/>
        </w:rPr>
        <w:t xml:space="preserve">” de la Facultad de Derecho de la Universidad Autónoma de San Luis Potosí (UASLP), como parte de la XXIV Semana de Derecho y Criminología, en el Panel “Violencia y explotación sexual y reproductiva" organizada por la Mtra. Claudia Espinosa Almaguer, catedrática universitaria, abogada y fundadora de la </w:t>
      </w:r>
      <w:r w:rsidRPr="002F4DDC">
        <w:rPr>
          <w:rFonts w:eastAsia="Times New Roman" w:cstheme="minorHAnsi"/>
          <w:color w:val="00B050"/>
          <w:lang w:val="es-ES" w:eastAsia="es-ES_tradnl"/>
        </w:rPr>
        <w:t xml:space="preserve">Internacional de Mujeres Feministas. </w:t>
      </w:r>
    </w:p>
    <w:p w14:paraId="3FF8C0DF" w14:textId="77777777" w:rsidR="002F4DDC" w:rsidRPr="002F4DDC" w:rsidRDefault="002F4DDC" w:rsidP="002F4DDC">
      <w:pPr>
        <w:spacing w:before="100" w:beforeAutospacing="1" w:after="0" w:line="240" w:lineRule="auto"/>
        <w:jc w:val="both"/>
        <w:rPr>
          <w:rFonts w:eastAsia="Times New Roman" w:cstheme="minorHAnsi"/>
          <w:color w:val="202124"/>
          <w:lang w:val="es-ES" w:eastAsia="es-ES_tradnl"/>
        </w:rPr>
      </w:pPr>
      <w:r w:rsidRPr="002F4DDC">
        <w:rPr>
          <w:rFonts w:eastAsia="Times New Roman" w:cstheme="minorHAnsi"/>
          <w:bCs/>
          <w:color w:val="202124"/>
          <w:lang w:val="es-ES" w:eastAsia="es-ES_tradnl"/>
        </w:rPr>
        <w:t>En dicho panel participaron, tanto desde el estrado como desde el público,</w:t>
      </w:r>
      <w:r w:rsidRPr="002F4DDC">
        <w:rPr>
          <w:rFonts w:eastAsia="Times New Roman" w:cstheme="minorHAnsi"/>
          <w:color w:val="202124"/>
          <w:lang w:val="es-ES" w:eastAsia="es-ES_tradnl"/>
        </w:rPr>
        <w:t xml:space="preserve"> profesorado, personal investigador, operadores jurídicos, asociaciones y feministas activistas expertas originarias de regiones con condiciones de violencia estructural contra las mujeres en </w:t>
      </w:r>
      <w:r w:rsidRPr="002F4DDC">
        <w:rPr>
          <w:rFonts w:eastAsia="Times New Roman" w:cstheme="minorHAnsi"/>
          <w:bCs/>
          <w:color w:val="202124"/>
          <w:lang w:val="es-ES" w:eastAsia="es-ES_tradnl"/>
        </w:rPr>
        <w:t xml:space="preserve">México, analizando y denunciando </w:t>
      </w:r>
      <w:r w:rsidRPr="002F4DDC">
        <w:rPr>
          <w:rFonts w:eastAsia="Times New Roman" w:cstheme="minorHAnsi"/>
          <w:color w:val="202124"/>
          <w:lang w:val="es-ES" w:eastAsia="es-ES_tradnl"/>
        </w:rPr>
        <w:t>cómo </w:t>
      </w:r>
      <w:r w:rsidRPr="002F4DDC">
        <w:rPr>
          <w:rFonts w:eastAsia="Times New Roman" w:cstheme="minorHAnsi"/>
          <w:bCs/>
          <w:color w:val="202124"/>
          <w:lang w:val="es-ES" w:eastAsia="es-ES_tradnl"/>
        </w:rPr>
        <w:t>los vientres de alquiler atentan contra los Derechos Humanos, tanto de las mujeres como de sus hijos e hijas, reducidos a la calidad de objetos de alquiler y compra y venta estatal e internacional.</w:t>
      </w:r>
    </w:p>
    <w:p w14:paraId="450C11E4" w14:textId="77777777" w:rsidR="002F4DDC" w:rsidRPr="002F4DDC" w:rsidRDefault="002F4DDC" w:rsidP="002F4DDC">
      <w:pPr>
        <w:spacing w:before="100" w:beforeAutospacing="1" w:after="0" w:line="240" w:lineRule="auto"/>
        <w:jc w:val="both"/>
        <w:rPr>
          <w:rFonts w:eastAsia="Times New Roman" w:cstheme="minorHAnsi"/>
          <w:color w:val="202124"/>
          <w:lang w:val="es-ES" w:eastAsia="es-ES_tradnl"/>
        </w:rPr>
      </w:pPr>
      <w:r w:rsidRPr="002F4DDC">
        <w:rPr>
          <w:rFonts w:eastAsia="Times New Roman" w:cstheme="minorHAnsi"/>
          <w:color w:val="202124"/>
          <w:lang w:val="es-ES" w:eastAsia="es-ES_tradnl"/>
        </w:rPr>
        <w:t xml:space="preserve">El Consejo de Derechos Humanos de Naciones Unidas en su 47º período de sesiones (21/06 a 9/07 2021), más específicamente en su Tema 3 de la agenda "Promoción y protección de todos los derechos humanos, civiles, políticos, económicos, sociales y culturales, incluido el derecho al desarrollo, "Los derechos en materia de salud sexual y reproductiva de las mujeres y las niñas en situaciones de crisis", en su  </w:t>
      </w:r>
      <w:r w:rsidRPr="002F4DDC">
        <w:rPr>
          <w:rFonts w:eastAsia="Times New Roman" w:cstheme="minorHAnsi"/>
          <w:i/>
          <w:color w:val="202124"/>
          <w:lang w:val="es-ES" w:eastAsia="es-ES_tradnl"/>
        </w:rPr>
        <w:t>Informe del Grupo de Trabajo sobre la cuestión de la discriminación contra las mujeres y las niñas</w:t>
      </w:r>
      <w:r w:rsidRPr="002F4DDC">
        <w:rPr>
          <w:rFonts w:eastAsia="Times New Roman" w:cstheme="minorHAnsi"/>
          <w:color w:val="202124"/>
          <w:lang w:val="es-ES" w:eastAsia="es-ES_tradnl"/>
        </w:rPr>
        <w:t xml:space="preserve"> reflejaba que, a nivel internacional, se computan 810 muertes maternas diarias, 25 millones de abortos peligrosos y una muerte fetal de sus hijos cada 16 segundos. Del mismo modo, más de 200 millones de mujeres y jóvenes menores no pueden acceder a métodos anticonceptivos, ni a la gestión de su ciclo menstrual en condiciones dignas. </w:t>
      </w:r>
    </w:p>
    <w:p w14:paraId="607DF46C" w14:textId="77777777" w:rsidR="002F4DDC" w:rsidRDefault="002F4DDC" w:rsidP="002F4DDC">
      <w:pPr>
        <w:spacing w:before="100" w:beforeAutospacing="1" w:after="0" w:line="240" w:lineRule="auto"/>
        <w:jc w:val="both"/>
        <w:rPr>
          <w:rFonts w:eastAsia="Times New Roman" w:cstheme="minorHAnsi"/>
          <w:color w:val="202124"/>
          <w:lang w:val="es-ES" w:eastAsia="es-ES_tradnl"/>
        </w:rPr>
      </w:pPr>
      <w:r w:rsidRPr="002F4DDC">
        <w:rPr>
          <w:rFonts w:eastAsia="Times New Roman" w:cstheme="minorHAnsi"/>
          <w:color w:val="202124"/>
          <w:lang w:val="es-ES" w:eastAsia="es-ES_tradnl"/>
        </w:rPr>
        <w:t xml:space="preserve">En Latinoamérica, como en otras regiones del mundo, convergen fenómenos que dificultan aún más que las mujeres puedan tener acceso y ejercer derechos sexuales y reproductivos fundamentales tales como los conflictos armados, las catástrofes naturales, la pobreza, la inestabilidad política, las </w:t>
      </w:r>
    </w:p>
    <w:p w14:paraId="1289E617" w14:textId="77777777" w:rsidR="002F4DDC" w:rsidRDefault="002F4DDC" w:rsidP="002F4DDC">
      <w:pPr>
        <w:spacing w:before="100" w:beforeAutospacing="1" w:after="0" w:line="240" w:lineRule="auto"/>
        <w:jc w:val="both"/>
        <w:rPr>
          <w:rFonts w:eastAsia="Times New Roman" w:cstheme="minorHAnsi"/>
          <w:color w:val="202124"/>
          <w:lang w:val="es-ES" w:eastAsia="es-ES_tradnl"/>
        </w:rPr>
      </w:pPr>
    </w:p>
    <w:p w14:paraId="39515263" w14:textId="77777777" w:rsidR="002F4DDC" w:rsidRDefault="002F4DDC" w:rsidP="002F4DDC">
      <w:pPr>
        <w:spacing w:before="100" w:beforeAutospacing="1" w:after="0" w:line="240" w:lineRule="auto"/>
        <w:jc w:val="both"/>
        <w:rPr>
          <w:rFonts w:eastAsia="Times New Roman" w:cstheme="minorHAnsi"/>
          <w:color w:val="202124"/>
          <w:lang w:val="es-ES" w:eastAsia="es-ES_tradnl"/>
        </w:rPr>
      </w:pPr>
    </w:p>
    <w:p w14:paraId="7B1725D3" w14:textId="3AE9E05E" w:rsidR="002F4DDC" w:rsidRPr="002F4DDC" w:rsidRDefault="002F4DDC" w:rsidP="002F4DDC">
      <w:pPr>
        <w:spacing w:before="100" w:beforeAutospacing="1" w:after="0" w:line="240" w:lineRule="auto"/>
        <w:jc w:val="both"/>
        <w:rPr>
          <w:rFonts w:eastAsia="Times New Roman" w:cstheme="minorHAnsi"/>
          <w:color w:val="202124"/>
          <w:lang w:val="es-ES" w:eastAsia="es-ES_tradnl"/>
        </w:rPr>
      </w:pPr>
      <w:r w:rsidRPr="002F4DDC">
        <w:rPr>
          <w:rFonts w:eastAsia="Times New Roman" w:cstheme="minorHAnsi"/>
          <w:color w:val="202124"/>
          <w:lang w:val="es-ES" w:eastAsia="es-ES_tradnl"/>
        </w:rPr>
        <w:t xml:space="preserve">pandemias y la desigualdad que deriva de una discriminación estructural y sistémica, así como el acceso a los debidos recursos, información y asesoramiento.  </w:t>
      </w:r>
    </w:p>
    <w:p w14:paraId="4213133A" w14:textId="77777777" w:rsidR="002F4DDC" w:rsidRPr="002F4DDC" w:rsidRDefault="002F4DDC" w:rsidP="002F4DDC">
      <w:pPr>
        <w:spacing w:before="100" w:beforeAutospacing="1" w:after="0" w:line="240" w:lineRule="auto"/>
        <w:jc w:val="both"/>
        <w:rPr>
          <w:rFonts w:eastAsia="Times New Roman" w:cstheme="minorHAnsi"/>
          <w:color w:val="202124"/>
          <w:lang w:val="es-ES" w:eastAsia="es-ES_tradnl"/>
        </w:rPr>
      </w:pPr>
      <w:r w:rsidRPr="002F4DDC">
        <w:rPr>
          <w:rFonts w:eastAsia="Times New Roman" w:cstheme="minorHAnsi"/>
          <w:color w:val="202124"/>
          <w:lang w:val="es-ES" w:eastAsia="es-ES_tradnl"/>
        </w:rPr>
        <w:t>Como sabe, la salud sexual y reproductiva de las mujeres, está relacionada con múltiples derechos humanos, como el derecho a la vida, el derecho a no ser torturada, el derecho a la salud, el derecho a la intimidad, el derecho a la educación y la prohibición de la discriminación. El Comité de Derechos Económicos, Sociales y Culturales (CESCR) y el Comité para la Eliminación de la Discriminación contra la Mujer (CEDAW), Tratado Internacional ratificado por México el 23/03/1981 en vigor y vinculante, han indicado claramente que el derecho de la mujer a la salud incluye su salud sexual y reproductiva en sus artículos 10 y 16, así como en la Recomendación general 24 del Comité de CEDAW.</w:t>
      </w:r>
    </w:p>
    <w:p w14:paraId="70D57068" w14:textId="77777777" w:rsidR="002F4DDC" w:rsidRPr="002F4DDC" w:rsidRDefault="002F4DDC" w:rsidP="002F4DDC">
      <w:pPr>
        <w:spacing w:before="100" w:beforeAutospacing="1" w:after="0" w:line="240" w:lineRule="auto"/>
        <w:jc w:val="both"/>
        <w:rPr>
          <w:rFonts w:eastAsia="Times New Roman" w:cstheme="minorHAnsi"/>
          <w:bCs/>
          <w:color w:val="202124"/>
          <w:lang w:val="es-ES" w:eastAsia="es-ES_tradnl"/>
        </w:rPr>
      </w:pPr>
      <w:r w:rsidRPr="002F4DDC">
        <w:rPr>
          <w:rFonts w:eastAsia="Times New Roman" w:cstheme="minorHAnsi"/>
          <w:color w:val="202124"/>
          <w:lang w:val="es-ES" w:eastAsia="es-ES_tradnl"/>
        </w:rPr>
        <w:t xml:space="preserve">A pesar de este contexto normativo, y con no pocos de estos derechos básicos pendientes para millones de mujeres, jóvenes y niños/as, es alarmante que la explotación reproductiva de mujeres o industria de vientres de alquiler, se pueda presentar en algunos ámbitos como una decisión personal, fruto de la libertad de las mujeres más </w:t>
      </w:r>
      <w:r w:rsidRPr="002F4DDC">
        <w:rPr>
          <w:rFonts w:eastAsia="Times New Roman" w:cstheme="minorHAnsi"/>
          <w:bCs/>
          <w:color w:val="202124"/>
          <w:lang w:val="es-ES" w:eastAsia="es-ES_tradnl"/>
        </w:rPr>
        <w:t>vulnerables de México. Justificar que ciudadanas que puedan decidir,</w:t>
      </w:r>
      <w:r w:rsidRPr="002F4DDC">
        <w:rPr>
          <w:rFonts w:eastAsia="Times New Roman" w:cstheme="minorHAnsi"/>
          <w:color w:val="202124"/>
          <w:lang w:val="es-ES" w:eastAsia="es-ES_tradnl"/>
        </w:rPr>
        <w:t xml:space="preserve"> de manera aparentemente no condicionada, ser inseminadas para procrear un hijo/a que, al final del proceso, les es arrebatado, todo ello en el marco de un contrato y con la mediación habitual de agencias privadas que se lucran del proceso. La experiencia internacional nos ha mostrado que, en demasiadas ocasiones, se configuran granjas de mujeres vulnerables que son destinadas a esta industria en entornos deshumanizados y de esclavitud, que violan el derecho internacional de los derechos humanos.</w:t>
      </w:r>
    </w:p>
    <w:p w14:paraId="47464BE7" w14:textId="77777777" w:rsidR="002F4DDC" w:rsidRPr="002F4DDC" w:rsidRDefault="002F4DDC" w:rsidP="002F4DDC">
      <w:pPr>
        <w:spacing w:before="100" w:beforeAutospacing="1" w:after="0" w:line="240" w:lineRule="auto"/>
        <w:jc w:val="both"/>
        <w:rPr>
          <w:rFonts w:eastAsia="Times New Roman" w:cstheme="minorHAnsi"/>
          <w:color w:val="202124"/>
          <w:lang w:val="es-ES" w:eastAsia="es-ES_tradnl"/>
        </w:rPr>
      </w:pPr>
      <w:r w:rsidRPr="002F4DDC">
        <w:rPr>
          <w:rFonts w:eastAsia="Times New Roman" w:cstheme="minorHAnsi"/>
          <w:bCs/>
          <w:color w:val="202124"/>
          <w:lang w:val="es-ES" w:eastAsia="es-ES_tradnl"/>
        </w:rPr>
        <w:t xml:space="preserve">La propia Constitución de México </w:t>
      </w:r>
      <w:r w:rsidRPr="002F4DDC">
        <w:rPr>
          <w:rFonts w:eastAsia="Times New Roman" w:cstheme="minorHAnsi"/>
          <w:color w:val="202124"/>
          <w:lang w:val="es-ES" w:eastAsia="es-ES_tradnl"/>
        </w:rPr>
        <w:t xml:space="preserve">reconoce los derechos humanos de todas las personas, sin condición de ningún tipo, prohibiendo específicamente cualquier forma de esclavitud y de discriminación. </w:t>
      </w:r>
    </w:p>
    <w:p w14:paraId="6EDABC26" w14:textId="77777777" w:rsidR="002F4DDC" w:rsidRPr="002F4DDC" w:rsidRDefault="002F4DDC" w:rsidP="002F4DDC">
      <w:pPr>
        <w:spacing w:before="100" w:beforeAutospacing="1" w:after="0" w:line="240" w:lineRule="auto"/>
        <w:jc w:val="both"/>
        <w:rPr>
          <w:rFonts w:eastAsia="Times New Roman" w:cstheme="minorHAnsi"/>
          <w:color w:val="202124"/>
          <w:lang w:val="es-ES" w:eastAsia="es-ES_tradnl"/>
        </w:rPr>
      </w:pPr>
      <w:r w:rsidRPr="002F4DDC">
        <w:rPr>
          <w:rFonts w:eastAsia="Times New Roman" w:cstheme="minorHAnsi"/>
          <w:color w:val="202124"/>
          <w:lang w:val="es-ES" w:eastAsia="es-ES_tradnl"/>
        </w:rPr>
        <w:t xml:space="preserve">Por ello, es llamativo que un organismo judicial del más alto nivel, garantista de derechos, como la Suprema Corte de Justicia de la Nación haya podido legitimar la posibilidad de que diversas entidades ofrezcan a sus ciudadanas más pobres y vulnerables la explotación reproductiva como modo de supervivencia. Así como pretender legalizar e invisibilizar la realidad de un mercado que nutre la trata de niños/as, que acaban en manos de personas extrañas sin las debidas garantías sobre su idoneidad y sin respetar el interés superior del menor. </w:t>
      </w:r>
    </w:p>
    <w:p w14:paraId="5870F8D6" w14:textId="521EFB28" w:rsidR="002F4DDC" w:rsidRDefault="002F4DDC" w:rsidP="002F4DDC">
      <w:pPr>
        <w:spacing w:before="100" w:beforeAutospacing="1" w:after="0" w:line="240" w:lineRule="auto"/>
        <w:jc w:val="both"/>
        <w:rPr>
          <w:rFonts w:eastAsia="Times New Roman" w:cstheme="minorHAnsi"/>
          <w:color w:val="202124"/>
          <w:lang w:val="es-ES" w:eastAsia="es-ES_tradnl"/>
        </w:rPr>
      </w:pPr>
      <w:r w:rsidRPr="002F4DDC">
        <w:rPr>
          <w:rFonts w:eastAsia="Times New Roman" w:cstheme="minorHAnsi"/>
          <w:color w:val="202124"/>
          <w:lang w:val="es-ES" w:eastAsia="es-ES_tradnl"/>
        </w:rPr>
        <w:t xml:space="preserve">Por todo lo que antecede, le solicitamos que, desde su alta responsabilidad diplomática, apoye y fomente </w:t>
      </w:r>
      <w:r w:rsidRPr="002F4DDC">
        <w:rPr>
          <w:rFonts w:eastAsia="Times New Roman" w:cstheme="minorHAnsi"/>
          <w:bCs/>
          <w:color w:val="202124"/>
          <w:lang w:val="es-ES" w:eastAsia="es-ES_tradnl"/>
        </w:rPr>
        <w:t xml:space="preserve">la denuncia de esta inhumana e ilegal forma de explotación de mujeres y trata de </w:t>
      </w:r>
      <w:r w:rsidRPr="002F4DDC">
        <w:rPr>
          <w:rFonts w:eastAsia="Times New Roman" w:cstheme="minorHAnsi"/>
          <w:color w:val="202124"/>
          <w:lang w:val="es-ES" w:eastAsia="es-ES_tradnl"/>
        </w:rPr>
        <w:t>menores, que genera una posición de segunda clase a las conciudadanas de este país y desprotege a la infancia gravemente. Así como a poner en evidencia los intereses económicos que hay detrás de la práctica de los vientres de alquiler para intermediarios y compradores.</w:t>
      </w:r>
    </w:p>
    <w:p w14:paraId="206BA6DB" w14:textId="77777777" w:rsidR="002F4DDC" w:rsidRPr="002F4DDC" w:rsidRDefault="002F4DDC" w:rsidP="002F4DDC">
      <w:pPr>
        <w:spacing w:after="0" w:line="360" w:lineRule="auto"/>
        <w:jc w:val="both"/>
        <w:rPr>
          <w:rFonts w:eastAsia="Times New Roman" w:cstheme="minorHAnsi"/>
          <w:color w:val="202124"/>
          <w:sz w:val="14"/>
          <w:szCs w:val="14"/>
          <w:lang w:val="es-ES" w:eastAsia="es-ES_tradnl"/>
        </w:rPr>
      </w:pPr>
    </w:p>
    <w:p w14:paraId="01070D7A" w14:textId="5B4C7D31" w:rsidR="002F4DDC" w:rsidRPr="002F4DDC" w:rsidRDefault="002F4DDC" w:rsidP="002F4DDC">
      <w:pPr>
        <w:spacing w:after="0" w:line="360" w:lineRule="auto"/>
        <w:jc w:val="both"/>
        <w:rPr>
          <w:rFonts w:eastAsia="Times New Roman" w:cstheme="minorHAnsi"/>
          <w:color w:val="202124"/>
          <w:lang w:val="es-ES" w:eastAsia="es-ES_tradnl"/>
        </w:rPr>
      </w:pPr>
      <w:r w:rsidRPr="002F4DDC">
        <w:rPr>
          <w:rFonts w:eastAsia="Times New Roman" w:cstheme="minorHAnsi"/>
          <w:color w:val="202124"/>
          <w:lang w:val="es-ES" w:eastAsia="es-ES_tradnl"/>
        </w:rPr>
        <w:t>Agradeciéndole de antemano su colaboración,</w:t>
      </w:r>
    </w:p>
    <w:p w14:paraId="069CABBC" w14:textId="77777777" w:rsidR="002F4DDC" w:rsidRPr="002F4DDC" w:rsidRDefault="002F4DDC" w:rsidP="002F4DDC">
      <w:pPr>
        <w:spacing w:after="0" w:line="360" w:lineRule="auto"/>
        <w:jc w:val="both"/>
        <w:rPr>
          <w:rFonts w:eastAsia="Times New Roman" w:cstheme="minorHAnsi"/>
          <w:color w:val="202124"/>
          <w:lang w:val="es-ES" w:eastAsia="es-ES_tradnl"/>
        </w:rPr>
      </w:pPr>
      <w:r w:rsidRPr="002F4DDC">
        <w:rPr>
          <w:rFonts w:eastAsia="Times New Roman" w:cstheme="minorHAnsi"/>
          <w:color w:val="202124"/>
          <w:lang w:val="es-ES" w:eastAsia="es-ES_tradnl"/>
        </w:rPr>
        <w:t>Respetuosamente, </w:t>
      </w:r>
    </w:p>
    <w:p w14:paraId="044D134D" w14:textId="3F7B7BF2" w:rsidR="003D171A" w:rsidRPr="003D171A" w:rsidRDefault="002F4DDC" w:rsidP="002F4DDC">
      <w:pPr>
        <w:spacing w:after="0" w:line="360" w:lineRule="auto"/>
        <w:jc w:val="both"/>
      </w:pPr>
      <w:r w:rsidRPr="002F4DDC">
        <w:rPr>
          <w:rFonts w:eastAsia="Times New Roman" w:cstheme="minorHAnsi"/>
          <w:b/>
          <w:bCs/>
          <w:color w:val="202124"/>
          <w:lang w:val="es-ES" w:eastAsia="es-ES_tradnl"/>
        </w:rPr>
        <w:t>Internacional de Mujeres Feministas</w:t>
      </w:r>
    </w:p>
    <w:sectPr w:rsidR="003D171A" w:rsidRPr="003D171A" w:rsidSect="002F4DDC">
      <w:headerReference w:type="default" r:id="rId6"/>
      <w:footerReference w:type="default" r:id="rId7"/>
      <w:pgSz w:w="12240" w:h="15840"/>
      <w:pgMar w:top="1701" w:right="1701" w:bottom="1418" w:left="1701" w:header="680" w:footer="545"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50638AE" w14:textId="77777777" w:rsidR="00B271DA" w:rsidRDefault="00B271DA" w:rsidP="003D171A">
      <w:pPr>
        <w:spacing w:after="0" w:line="240" w:lineRule="auto"/>
      </w:pPr>
      <w:r>
        <w:separator/>
      </w:r>
    </w:p>
  </w:endnote>
  <w:endnote w:type="continuationSeparator" w:id="0">
    <w:p w14:paraId="4EAC6BA3" w14:textId="77777777" w:rsidR="00B271DA" w:rsidRDefault="00B271DA" w:rsidP="003D171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gency FB">
    <w:panose1 w:val="020B0503020202020204"/>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Merriweather">
    <w:charset w:val="00"/>
    <w:family w:val="auto"/>
    <w:pitch w:val="variable"/>
    <w:sig w:usb0="20000207" w:usb1="00000002" w:usb2="00000000" w:usb3="00000000" w:csb0="00000197"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EB6690A" w14:textId="13C5B17F" w:rsidR="003D171A" w:rsidRDefault="002F4DDC">
    <w:pPr>
      <w:pStyle w:val="Piedepgina"/>
    </w:pPr>
    <w:r w:rsidRPr="003D171A">
      <w:drawing>
        <wp:anchor distT="0" distB="0" distL="114300" distR="114300" simplePos="0" relativeHeight="251664384" behindDoc="0" locked="0" layoutInCell="1" allowOverlap="1" wp14:anchorId="467FE4EA" wp14:editId="223702D8">
          <wp:simplePos x="0" y="0"/>
          <wp:positionH relativeFrom="margin">
            <wp:align>left</wp:align>
          </wp:positionH>
          <wp:positionV relativeFrom="paragraph">
            <wp:posOffset>-384722</wp:posOffset>
          </wp:positionV>
          <wp:extent cx="5612130" cy="521970"/>
          <wp:effectExtent l="0" t="0" r="7620" b="0"/>
          <wp:wrapSquare wrapText="bothSides"/>
          <wp:docPr id="203" name="Imagen 2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5612130" cy="521970"/>
                  </a:xfrm>
                  <a:prstGeom prst="rect">
                    <a:avLst/>
                  </a:prstGeom>
                </pic:spPr>
              </pic:pic>
            </a:graphicData>
          </a:graphic>
        </wp:anchor>
      </w:drawing>
    </w:r>
    <w:r w:rsidR="003D171A">
      <w:rPr>
        <w:noProof/>
      </w:rPr>
      <mc:AlternateContent>
        <mc:Choice Requires="wps">
          <w:drawing>
            <wp:anchor distT="0" distB="0" distL="114300" distR="114300" simplePos="0" relativeHeight="251655166" behindDoc="0" locked="0" layoutInCell="1" allowOverlap="1" wp14:anchorId="0CFB21D7" wp14:editId="1413CC81">
              <wp:simplePos x="0" y="0"/>
              <wp:positionH relativeFrom="column">
                <wp:posOffset>-1206259</wp:posOffset>
              </wp:positionH>
              <wp:positionV relativeFrom="paragraph">
                <wp:posOffset>476929</wp:posOffset>
              </wp:positionV>
              <wp:extent cx="8057909" cy="17342"/>
              <wp:effectExtent l="0" t="57150" r="57785" b="78105"/>
              <wp:wrapNone/>
              <wp:docPr id="16" name="Conector recto 16"/>
              <wp:cNvGraphicFramePr/>
              <a:graphic xmlns:a="http://schemas.openxmlformats.org/drawingml/2006/main">
                <a:graphicData uri="http://schemas.microsoft.com/office/word/2010/wordprocessingShape">
                  <wps:wsp>
                    <wps:cNvCnPr/>
                    <wps:spPr>
                      <a:xfrm flipV="1">
                        <a:off x="0" y="0"/>
                        <a:ext cx="8057909" cy="17342"/>
                      </a:xfrm>
                      <a:prstGeom prst="line">
                        <a:avLst/>
                      </a:prstGeom>
                      <a:noFill/>
                      <a:ln w="127000" cap="flat" cmpd="sng" algn="ctr">
                        <a:solidFill>
                          <a:srgbClr val="00B05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19DAB6D2" id="Conector recto 16" o:spid="_x0000_s1026" style="position:absolute;flip:y;z-index:25165516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95pt,37.55pt" to="539.5pt,38.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" strokecolor="#00b050" strokeweight="10pt">
              <v:stroke joinstyle="miter"/>
            </v:lin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C8DC99B" w14:textId="77777777" w:rsidR="00B271DA" w:rsidRDefault="00B271DA" w:rsidP="003D171A">
      <w:pPr>
        <w:spacing w:after="0" w:line="240" w:lineRule="auto"/>
      </w:pPr>
      <w:r>
        <w:separator/>
      </w:r>
    </w:p>
  </w:footnote>
  <w:footnote w:type="continuationSeparator" w:id="0">
    <w:p w14:paraId="4F2BB784" w14:textId="77777777" w:rsidR="00B271DA" w:rsidRDefault="00B271DA" w:rsidP="003D171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321D831" w14:textId="0A19BC63" w:rsidR="003D171A" w:rsidRDefault="002F4DDC" w:rsidP="002F4DDC">
    <w:pPr>
      <w:pStyle w:val="Encabezado"/>
      <w:tabs>
        <w:tab w:val="clear" w:pos="4419"/>
        <w:tab w:val="center" w:pos="0"/>
      </w:tabs>
    </w:pPr>
    <w:r w:rsidRPr="003D171A">
      <w:drawing>
        <wp:anchor distT="0" distB="0" distL="114300" distR="114300" simplePos="0" relativeHeight="251657216" behindDoc="0" locked="0" layoutInCell="1" allowOverlap="1" wp14:anchorId="49254E6E" wp14:editId="185CDF42">
          <wp:simplePos x="0" y="0"/>
          <wp:positionH relativeFrom="margin">
            <wp:align>left</wp:align>
          </wp:positionH>
          <wp:positionV relativeFrom="paragraph">
            <wp:posOffset>-260350</wp:posOffset>
          </wp:positionV>
          <wp:extent cx="609600" cy="647065"/>
          <wp:effectExtent l="0" t="0" r="0" b="635"/>
          <wp:wrapSquare wrapText="bothSides"/>
          <wp:docPr id="202" name="Imagen 2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extLst>
                      <a:ext uri="{28A0092B-C50C-407E-A947-70E740481C1C}">
                        <a14:useLocalDpi xmlns:a14="http://schemas.microsoft.com/office/drawing/2010/main" val="0"/>
                      </a:ext>
                    </a:extLst>
                  </a:blip>
                  <a:srcRect r="71577"/>
                  <a:stretch/>
                </pic:blipFill>
                <pic:spPr bwMode="auto">
                  <a:xfrm>
                    <a:off x="0" y="0"/>
                    <a:ext cx="609600" cy="647065"/>
                  </a:xfrm>
                  <a:prstGeom prst="ellipse">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633315AF" w14:textId="0B63AE13" w:rsidR="003D171A" w:rsidRDefault="003D171A">
    <w:pPr>
      <w:pStyle w:val="Encabezado"/>
    </w:pPr>
    <w:r>
      <w:rPr>
        <w:noProof/>
      </w:rPr>
      <mc:AlternateContent>
        <mc:Choice Requires="wps">
          <w:drawing>
            <wp:anchor distT="45720" distB="45720" distL="114300" distR="114300" simplePos="0" relativeHeight="251659264" behindDoc="0" locked="0" layoutInCell="1" allowOverlap="1" wp14:anchorId="1F42E727" wp14:editId="7E970340">
              <wp:simplePos x="0" y="0"/>
              <wp:positionH relativeFrom="column">
                <wp:posOffset>-470535</wp:posOffset>
              </wp:positionH>
              <wp:positionV relativeFrom="paragraph">
                <wp:posOffset>175260</wp:posOffset>
              </wp:positionV>
              <wp:extent cx="1562734" cy="379094"/>
              <wp:effectExtent l="0" t="0" r="0" b="2540"/>
              <wp:wrapSquare wrapText="bothSides"/>
              <wp:docPr id="21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62734" cy="379094"/>
                      </a:xfrm>
                      <a:prstGeom prst="rect">
                        <a:avLst/>
                      </a:prstGeom>
                      <a:noFill/>
                      <a:ln w="9525">
                        <a:noFill/>
                        <a:miter lim="800000"/>
                        <a:headEnd/>
                        <a:tailEnd/>
                      </a:ln>
                    </wps:spPr>
                    <wps:txbx>
                      <w:txbxContent>
                        <w:p w14:paraId="06B092CB" w14:textId="5ADAA3A1" w:rsidR="003D171A" w:rsidRPr="003D171A" w:rsidRDefault="003D171A">
                          <w:pPr>
                            <w:rPr>
                              <w:rFonts w:ascii="Agency FB" w:hAnsi="Agency FB"/>
                              <w:color w:val="7030A0"/>
                              <w:sz w:val="18"/>
                              <w:szCs w:val="18"/>
                            </w:rPr>
                          </w:pPr>
                          <w:r w:rsidRPr="003D171A">
                            <w:rPr>
                              <w:rFonts w:ascii="Agency FB" w:hAnsi="Agency FB"/>
                              <w:color w:val="7030A0"/>
                              <w:sz w:val="18"/>
                              <w:szCs w:val="18"/>
                            </w:rPr>
                            <w:t>Internacional de Mujeres Feministas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F42E727" id="_x0000_t202" coordsize="21600,21600" o:spt="202" path="m,l,21600r21600,l21600,xe">
              <v:stroke joinstyle="miter"/>
              <v:path gradientshapeok="t" o:connecttype="rect"/>
            </v:shapetype>
            <v:shape id="Cuadro de texto 2" o:spid="_x0000_s1026" type="#_x0000_t202" style="position:absolute;margin-left:-37.05pt;margin-top:13.8pt;width:123.05pt;height:29.8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" filled="f" stroked="f">
              <v:textbox>
                <w:txbxContent>
                  <w:p w14:paraId="06B092CB" w14:textId="5ADAA3A1" w:rsidR="003D171A" w:rsidRPr="003D171A" w:rsidRDefault="003D171A">
                    <w:pPr>
                      <w:rPr>
                        <w:rFonts w:ascii="Agency FB" w:hAnsi="Agency FB"/>
                        <w:color w:val="7030A0"/>
                        <w:sz w:val="18"/>
                        <w:szCs w:val="18"/>
                      </w:rPr>
                    </w:pPr>
                    <w:r w:rsidRPr="003D171A">
                      <w:rPr>
                        <w:rFonts w:ascii="Agency FB" w:hAnsi="Agency FB"/>
                        <w:color w:val="7030A0"/>
                        <w:sz w:val="18"/>
                        <w:szCs w:val="18"/>
                      </w:rPr>
                      <w:t>Internacional de Mujeres Feministas</w:t>
                    </w:r>
                  </w:p>
                </w:txbxContent>
              </v:textbox>
              <w10:wrap type="square"/>
            </v:shape>
          </w:pict>
        </mc:Fallback>
      </mc:AlternateContent>
    </w:r>
    <w:r>
      <w:rPr>
        <w:noProof/>
      </w:rPr>
      <mc:AlternateContent>
        <mc:Choice Requires="wpg">
          <w:drawing>
            <wp:anchor distT="0" distB="0" distL="114300" distR="114300" simplePos="0" relativeHeight="251656191" behindDoc="0" locked="0" layoutInCell="1" allowOverlap="1" wp14:anchorId="58A4185F" wp14:editId="51659378">
              <wp:simplePos x="0" y="0"/>
              <wp:positionH relativeFrom="page">
                <wp:align>left</wp:align>
              </wp:positionH>
              <wp:positionV relativeFrom="paragraph">
                <wp:posOffset>-179070</wp:posOffset>
              </wp:positionV>
              <wp:extent cx="7940040" cy="118110"/>
              <wp:effectExtent l="0" t="19050" r="41910" b="53340"/>
              <wp:wrapNone/>
              <wp:docPr id="4" name="Grupo 4"/>
              <wp:cNvGraphicFramePr/>
              <a:graphic xmlns:a="http://schemas.openxmlformats.org/drawingml/2006/main">
                <a:graphicData uri="http://schemas.microsoft.com/office/word/2010/wordprocessingGroup">
                  <wpg:wgp>
                    <wpg:cNvGrpSpPr/>
                    <wpg:grpSpPr>
                      <a:xfrm>
                        <a:off x="0" y="0"/>
                        <a:ext cx="7940040" cy="118110"/>
                        <a:chOff x="0" y="0"/>
                        <a:chExt cx="7741920" cy="99060"/>
                      </a:xfrm>
                    </wpg:grpSpPr>
                    <wps:wsp>
                      <wps:cNvPr id="2" name="Conector recto 2"/>
                      <wps:cNvCnPr/>
                      <wps:spPr>
                        <a:xfrm>
                          <a:off x="7620" y="0"/>
                          <a:ext cx="7734300" cy="22860"/>
                        </a:xfrm>
                        <a:prstGeom prst="line">
                          <a:avLst/>
                        </a:prstGeom>
                        <a:noFill/>
                        <a:ln w="57150" cap="flat" cmpd="sng" algn="ctr">
                          <a:solidFill>
                            <a:srgbClr val="833EBC"/>
                          </a:solidFill>
                          <a:prstDash val="solid"/>
                          <a:miter lim="800000"/>
                        </a:ln>
                        <a:effectLst/>
                      </wps:spPr>
                      <wps:bodyPr/>
                    </wps:wsp>
                    <wps:wsp>
                      <wps:cNvPr id="3" name="Conector recto 3"/>
                      <wps:cNvCnPr/>
                      <wps:spPr>
                        <a:xfrm>
                          <a:off x="0" y="76200"/>
                          <a:ext cx="7734300" cy="22860"/>
                        </a:xfrm>
                        <a:prstGeom prst="line">
                          <a:avLst/>
                        </a:prstGeom>
                        <a:noFill/>
                        <a:ln w="57150" cap="flat" cmpd="sng" algn="ctr">
                          <a:solidFill>
                            <a:srgbClr val="00B050"/>
                          </a:solidFill>
                          <a:prstDash val="solid"/>
                          <a:miter lim="800000"/>
                        </a:ln>
                        <a:effectLst/>
                      </wps:spPr>
                      <wps:bodyPr/>
                    </wps:wsp>
                  </wpg:wgp>
                </a:graphicData>
              </a:graphic>
              <wp14:sizeRelH relativeFrom="margin">
                <wp14:pctWidth>0</wp14:pctWidth>
              </wp14:sizeRelH>
              <wp14:sizeRelV relativeFrom="margin">
                <wp14:pctHeight>0</wp14:pctHeight>
              </wp14:sizeRelV>
            </wp:anchor>
          </w:drawing>
        </mc:Choice>
        <mc:Fallback>
          <w:pict>
            <v:group w14:anchorId="1AD0C13F" id="Grupo 4" o:spid="_x0000_s1026" style="position:absolute;margin-left:0;margin-top:-14.1pt;width:625.2pt;height:9.3pt;z-index:251656191;mso-position-horizontal:left;mso-position-horizontal-relative:page;mso-width-relative:margin;mso-height-relative:margin" coordsize="77419,9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">
              <v:line id="Conector recto 2" o:spid="_x0000_s1027" style="position:absolute;visibility:visible;mso-wrap-style:square" from="76,0" to="77419,22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" strokecolor="#833ebc" strokeweight="4.5pt">
                <v:stroke joinstyle="miter"/>
              </v:line>
              <v:line id="Conector recto 3" o:spid="_x0000_s1028" style="position:absolute;visibility:visible;mso-wrap-style:square" from="0,762" to="77343,9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" strokecolor="#00b050" strokeweight="4.5pt">
                <v:stroke joinstyle="miter"/>
              </v:line>
              <w10:wrap anchorx="page"/>
            </v:group>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8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171A"/>
    <w:rsid w:val="00296182"/>
    <w:rsid w:val="002F0D75"/>
    <w:rsid w:val="002F4DDC"/>
    <w:rsid w:val="003D171A"/>
    <w:rsid w:val="0097357F"/>
    <w:rsid w:val="00B271DA"/>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3AE27D6"/>
  <w15:chartTrackingRefBased/>
  <w15:docId w15:val="{01716BE8-159B-4A94-8951-749CC645A4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C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296182"/>
    <w:pPr>
      <w:pBdr>
        <w:top w:val="single" w:sz="24" w:space="0" w:color="4472C4" w:themeColor="accent1"/>
        <w:left w:val="single" w:sz="24" w:space="0" w:color="4472C4" w:themeColor="accent1"/>
        <w:bottom w:val="single" w:sz="24" w:space="0" w:color="4472C4" w:themeColor="accent1"/>
        <w:right w:val="single" w:sz="24" w:space="0" w:color="4472C4" w:themeColor="accent1"/>
      </w:pBdr>
      <w:shd w:val="clear" w:color="auto" w:fill="4472C4" w:themeFill="accent1"/>
      <w:spacing w:before="100" w:after="0" w:line="276" w:lineRule="auto"/>
      <w:outlineLvl w:val="0"/>
    </w:pPr>
    <w:rPr>
      <w:rFonts w:eastAsiaTheme="minorEastAsia"/>
      <w:caps/>
      <w:color w:val="FFFFFF" w:themeColor="background1"/>
      <w:spacing w:val="15"/>
      <w:lang w:eastAsia="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296182"/>
    <w:rPr>
      <w:rFonts w:eastAsiaTheme="minorEastAsia"/>
      <w:caps/>
      <w:color w:val="FFFFFF" w:themeColor="background1"/>
      <w:spacing w:val="15"/>
      <w:shd w:val="clear" w:color="auto" w:fill="4472C4" w:themeFill="accent1"/>
      <w:lang w:eastAsia="es-ES_tradnl"/>
    </w:rPr>
  </w:style>
  <w:style w:type="paragraph" w:styleId="Encabezado">
    <w:name w:val="header"/>
    <w:basedOn w:val="Normal"/>
    <w:link w:val="EncabezadoCar"/>
    <w:uiPriority w:val="99"/>
    <w:unhideWhenUsed/>
    <w:rsid w:val="003D171A"/>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3D171A"/>
  </w:style>
  <w:style w:type="paragraph" w:styleId="Piedepgina">
    <w:name w:val="footer"/>
    <w:basedOn w:val="Normal"/>
    <w:link w:val="PiedepginaCar"/>
    <w:uiPriority w:val="99"/>
    <w:unhideWhenUsed/>
    <w:rsid w:val="003D171A"/>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3D171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22</TotalTime>
  <Pages>2</Pages>
  <Words>925</Words>
  <Characters>5091</Characters>
  <Application>Microsoft Office Word</Application>
  <DocSecurity>0</DocSecurity>
  <Lines>42</Lines>
  <Paragraphs>12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6004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Roxana Gorigoytía Oliveros</dc:creator>
  <cp:keywords/>
  <dc:description/>
  <cp:lastModifiedBy>Roxana Gorigoytía Oliveros</cp:lastModifiedBy>
  <cp:revision>2</cp:revision>
  <dcterms:created xsi:type="dcterms:W3CDTF">2023-12-12T22:29:00Z</dcterms:created>
  <dcterms:modified xsi:type="dcterms:W3CDTF">2023-12-12T22:51:00Z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2547b8a3-ac18-4287-b28a-c115cfe9803a_Enabled">
    <vt:lpwstr>true</vt:lpwstr>
  </property>
  <property fmtid="{D5CDD505-2E9C-101B-9397-08002B2CF9AE}" pid="3" name="MSIP_Label_2547b8a3-ac18-4287-b28a-c115cfe9803a_SetDate">
    <vt:lpwstr>2023-12-12T22:29:33Z</vt:lpwstr>
  </property>
  <property fmtid="{D5CDD505-2E9C-101B-9397-08002B2CF9AE}" pid="4" name="MSIP_Label_2547b8a3-ac18-4287-b28a-c115cfe9803a_Method">
    <vt:lpwstr>Standard</vt:lpwstr>
  </property>
  <property fmtid="{D5CDD505-2E9C-101B-9397-08002B2CF9AE}" pid="5" name="MSIP_Label_2547b8a3-ac18-4287-b28a-c115cfe9803a_Name">
    <vt:lpwstr>Público</vt:lpwstr>
  </property>
  <property fmtid="{D5CDD505-2E9C-101B-9397-08002B2CF9AE}" pid="6" name="MSIP_Label_2547b8a3-ac18-4287-b28a-c115cfe9803a_SiteId">
    <vt:lpwstr>4fd56a46-8498-4360-9d3e-bbb677303c73</vt:lpwstr>
  </property>
  <property fmtid="{D5CDD505-2E9C-101B-9397-08002B2CF9AE}" pid="7" name="MSIP_Label_2547b8a3-ac18-4287-b28a-c115cfe9803a_ActionId">
    <vt:lpwstr>469bd3e2-62d6-4c9b-bda6-9d5afcbd4b76</vt:lpwstr>
  </property>
  <property fmtid="{D5CDD505-2E9C-101B-9397-08002B2CF9AE}" pid="8" name="MSIP_Label_2547b8a3-ac18-4287-b28a-c115cfe9803a_ContentBits">
    <vt:lpwstr>0</vt:lpwstr>
  </property>
</Properties>
</file>